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EE1" w:rsidRPr="00464B14" w:rsidRDefault="0024694B" w:rsidP="00464B14">
      <w:pPr>
        <w:rPr>
          <w:b/>
          <w:sz w:val="20"/>
          <w:szCs w:val="20"/>
        </w:rPr>
      </w:pPr>
      <w:r w:rsidRPr="008D3FDF">
        <w:rPr>
          <w:b/>
          <w:sz w:val="20"/>
          <w:szCs w:val="20"/>
        </w:rPr>
        <w:t>MEDIA ALERT</w:t>
      </w:r>
      <w:r w:rsidRPr="008D3FDF">
        <w:rPr>
          <w:b/>
          <w:sz w:val="20"/>
          <w:szCs w:val="20"/>
        </w:rPr>
        <w:tab/>
      </w:r>
      <w:r w:rsidRPr="008D3FDF">
        <w:rPr>
          <w:b/>
          <w:sz w:val="20"/>
          <w:szCs w:val="20"/>
        </w:rPr>
        <w:tab/>
      </w:r>
      <w:r w:rsidRPr="008D3FDF">
        <w:rPr>
          <w:b/>
          <w:sz w:val="20"/>
          <w:szCs w:val="20"/>
        </w:rPr>
        <w:tab/>
      </w:r>
      <w:r w:rsidRPr="008D3FDF">
        <w:rPr>
          <w:b/>
          <w:sz w:val="20"/>
          <w:szCs w:val="20"/>
        </w:rPr>
        <w:tab/>
      </w:r>
      <w:r w:rsidRPr="008D3FDF">
        <w:rPr>
          <w:b/>
          <w:sz w:val="20"/>
          <w:szCs w:val="20"/>
        </w:rPr>
        <w:tab/>
      </w:r>
      <w:r w:rsidR="00BA26AD" w:rsidRPr="008D3FDF">
        <w:rPr>
          <w:b/>
          <w:sz w:val="20"/>
          <w:szCs w:val="20"/>
        </w:rPr>
        <w:tab/>
      </w:r>
      <w:r w:rsidR="00BA26AD" w:rsidRPr="008D3FDF">
        <w:rPr>
          <w:b/>
          <w:noProof/>
          <w:sz w:val="20"/>
          <w:szCs w:val="20"/>
        </w:rPr>
        <w:drawing>
          <wp:inline distT="0" distB="0" distL="0" distR="0" wp14:anchorId="30E90278" wp14:editId="761081A5">
            <wp:extent cx="22860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erse Events (logo).bmp"/>
                    <pic:cNvPicPr/>
                  </pic:nvPicPr>
                  <pic:blipFill>
                    <a:blip r:embed="rId6">
                      <a:extLst>
                        <a:ext uri="{28A0092B-C50C-407E-A947-70E740481C1C}">
                          <a14:useLocalDpi xmlns:a14="http://schemas.microsoft.com/office/drawing/2010/main" val="0"/>
                        </a:ext>
                      </a:extLst>
                    </a:blip>
                    <a:stretch>
                      <a:fillRect/>
                    </a:stretch>
                  </pic:blipFill>
                  <pic:spPr>
                    <a:xfrm>
                      <a:off x="0" y="0"/>
                      <a:ext cx="2344952" cy="586238"/>
                    </a:xfrm>
                    <a:prstGeom prst="rect">
                      <a:avLst/>
                    </a:prstGeom>
                  </pic:spPr>
                </pic:pic>
              </a:graphicData>
            </a:graphic>
          </wp:inline>
        </w:drawing>
      </w:r>
    </w:p>
    <w:p w:rsidR="0024694B" w:rsidRDefault="0024694B" w:rsidP="0024694B">
      <w:pPr>
        <w:pStyle w:val="NormalWeb"/>
        <w:shd w:val="clear" w:color="auto" w:fill="FFFFFF"/>
        <w:spacing w:before="2" w:after="2" w:line="336" w:lineRule="atLeast"/>
        <w:jc w:val="center"/>
        <w:rPr>
          <w:rFonts w:ascii="Sanchez" w:hAnsi="Sanchez" w:cs="Arial"/>
          <w:b/>
          <w:u w:val="single"/>
        </w:rPr>
      </w:pPr>
      <w:r w:rsidRPr="008D3FDF">
        <w:rPr>
          <w:rFonts w:ascii="Sanchez" w:hAnsi="Sanchez" w:cs="Arial"/>
          <w:b/>
          <w:u w:val="single"/>
        </w:rPr>
        <w:t>OBESITY</w:t>
      </w:r>
      <w:r w:rsidR="00E36BD6">
        <w:rPr>
          <w:rFonts w:ascii="Sanchez" w:hAnsi="Sanchez" w:cs="Arial"/>
          <w:b/>
          <w:u w:val="single"/>
        </w:rPr>
        <w:t xml:space="preserve"> DRUGS COMPARATIVE SAFETY REVIEW</w:t>
      </w:r>
    </w:p>
    <w:p w:rsidR="00E36BD6" w:rsidRPr="008D3FDF" w:rsidRDefault="00E36BD6" w:rsidP="0024694B">
      <w:pPr>
        <w:pStyle w:val="NormalWeb"/>
        <w:shd w:val="clear" w:color="auto" w:fill="FFFFFF"/>
        <w:spacing w:before="2" w:after="2" w:line="336" w:lineRule="atLeast"/>
        <w:jc w:val="center"/>
        <w:rPr>
          <w:rFonts w:ascii="Sanchez" w:hAnsi="Sanchez" w:cs="Arial"/>
          <w:b/>
          <w:u w:val="single"/>
        </w:rPr>
      </w:pPr>
    </w:p>
    <w:p w:rsidR="00912C73" w:rsidRPr="00E36BD6" w:rsidRDefault="00E36BD6" w:rsidP="00597899">
      <w:pPr>
        <w:jc w:val="center"/>
        <w:rPr>
          <w:b/>
          <w:caps/>
          <w:sz w:val="20"/>
          <w:szCs w:val="20"/>
          <w:u w:val="single"/>
        </w:rPr>
      </w:pPr>
      <w:r w:rsidRPr="00E36BD6">
        <w:rPr>
          <w:rStyle w:val="apple-converted-space"/>
          <w:rFonts w:ascii="Helvetica Neue" w:hAnsi="Helvetica Neue"/>
          <w:b/>
          <w:bCs/>
          <w:color w:val="000000"/>
          <w:sz w:val="21"/>
          <w:szCs w:val="21"/>
          <w:bdr w:val="none" w:sz="0" w:space="0" w:color="auto" w:frame="1"/>
          <w:shd w:val="clear" w:color="auto" w:fill="FFFFFF"/>
        </w:rPr>
        <w:t> </w:t>
      </w:r>
      <w:r w:rsidRPr="00E36BD6">
        <w:rPr>
          <w:rFonts w:ascii="Helvetica Neue" w:hAnsi="Helvetica Neue"/>
          <w:b/>
          <w:color w:val="000000"/>
          <w:sz w:val="21"/>
          <w:szCs w:val="21"/>
          <w:shd w:val="clear" w:color="auto" w:fill="FFFFFF"/>
        </w:rPr>
        <w:t xml:space="preserve">ALLI, BELVIQ, CONTRAVE, PHENTERMINE, QSYMIA, XENICAL </w:t>
      </w:r>
    </w:p>
    <w:p w:rsidR="00676894" w:rsidRDefault="0022363E" w:rsidP="009A001B">
      <w:pPr>
        <w:pStyle w:val="NormalWeb"/>
        <w:shd w:val="clear" w:color="auto" w:fill="FFFFFF"/>
        <w:spacing w:before="2" w:after="2" w:line="336" w:lineRule="atLeast"/>
        <w:rPr>
          <w:rStyle w:val="apple-converted-space"/>
          <w:rFonts w:ascii="Helvetica Neue" w:hAnsi="Helvetica Neue"/>
          <w:color w:val="000000"/>
          <w:sz w:val="21"/>
          <w:szCs w:val="21"/>
          <w:shd w:val="clear" w:color="auto" w:fill="FFFFFF"/>
        </w:rPr>
      </w:pPr>
      <w:r w:rsidRPr="008D3FDF">
        <w:rPr>
          <w:b/>
          <w:shd w:val="clear" w:color="auto" w:fill="FEFEFE"/>
        </w:rPr>
        <w:t xml:space="preserve">SANTA ROSA, Calif., </w:t>
      </w:r>
      <w:r w:rsidR="00EC06B0">
        <w:rPr>
          <w:b/>
          <w:shd w:val="clear" w:color="auto" w:fill="FEFEFE"/>
        </w:rPr>
        <w:t>October 6</w:t>
      </w:r>
      <w:r w:rsidRPr="008D3FDF">
        <w:rPr>
          <w:b/>
          <w:shd w:val="clear" w:color="auto" w:fill="FEFEFE"/>
        </w:rPr>
        <w:t>, 2014</w:t>
      </w:r>
      <w:r w:rsidRPr="008D3FDF">
        <w:rPr>
          <w:shd w:val="clear" w:color="auto" w:fill="FEFEFE"/>
        </w:rPr>
        <w:t xml:space="preserve"> </w:t>
      </w:r>
      <w:r w:rsidR="00932357" w:rsidRPr="008D3FDF">
        <w:rPr>
          <w:shd w:val="clear" w:color="auto" w:fill="FEFEFE"/>
        </w:rPr>
        <w:t>–</w:t>
      </w:r>
      <w:r w:rsidR="00464B14">
        <w:rPr>
          <w:shd w:val="clear" w:color="auto" w:fill="FEFEFE"/>
        </w:rPr>
        <w:t xml:space="preserve"> </w:t>
      </w:r>
      <w:r w:rsidR="00EC06B0" w:rsidRPr="008D3FDF">
        <w:rPr>
          <w:rFonts w:asciiTheme="minorHAnsi" w:hAnsiTheme="minorHAnsi"/>
          <w:shd w:val="clear" w:color="auto" w:fill="FEFEFE"/>
        </w:rPr>
        <w:t xml:space="preserve">AdverseEvents, Inc., a healthcare informatics company, </w:t>
      </w:r>
      <w:r w:rsidR="00EC06B0">
        <w:rPr>
          <w:rFonts w:asciiTheme="minorHAnsi" w:hAnsiTheme="minorHAnsi"/>
          <w:shd w:val="clear" w:color="auto" w:fill="FEFEFE"/>
        </w:rPr>
        <w:t>released at the Academy of Managed Care Pharmacy Nexus Conference in Boston, a comparative safety review of approved obesity drug treatments, in response to the controversial FDA approval of Contrave (</w:t>
      </w:r>
      <w:r w:rsidR="00EC06B0" w:rsidRPr="008D3FDF">
        <w:rPr>
          <w:rFonts w:asciiTheme="minorHAnsi" w:hAnsiTheme="minorHAnsi" w:cs="Arial"/>
          <w:b/>
        </w:rPr>
        <w:t>Orexigen Therapeutics</w:t>
      </w:r>
      <w:r w:rsidR="00EC06B0">
        <w:rPr>
          <w:rFonts w:asciiTheme="minorHAnsi" w:hAnsiTheme="minorHAnsi"/>
          <w:shd w:val="clear" w:color="auto" w:fill="FEFEFE"/>
        </w:rPr>
        <w:t xml:space="preserve">).  </w:t>
      </w:r>
      <w:r w:rsidR="00676894">
        <w:rPr>
          <w:rFonts w:asciiTheme="minorHAnsi" w:hAnsiTheme="minorHAnsi" w:cs="Arial"/>
        </w:rPr>
        <w:t xml:space="preserve">Obesity drug treatments have long been contentious -- in 14 years only </w:t>
      </w:r>
      <w:r w:rsidR="009075C1">
        <w:rPr>
          <w:rFonts w:asciiTheme="minorHAnsi" w:hAnsiTheme="minorHAnsi" w:cs="Arial"/>
        </w:rPr>
        <w:t>3</w:t>
      </w:r>
      <w:r w:rsidR="00676894">
        <w:rPr>
          <w:rFonts w:asciiTheme="minorHAnsi" w:hAnsiTheme="minorHAnsi" w:cs="Arial"/>
        </w:rPr>
        <w:t xml:space="preserve"> drugs have received FDA approval and stayed on the US Market.  Several of these drugs are classified as Schedule IV controlled substan</w:t>
      </w:r>
      <w:r w:rsidR="00C359D1">
        <w:rPr>
          <w:rFonts w:asciiTheme="minorHAnsi" w:hAnsiTheme="minorHAnsi" w:cs="Arial"/>
        </w:rPr>
        <w:t>ces and all have notable</w:t>
      </w:r>
      <w:r w:rsidR="00676894">
        <w:rPr>
          <w:rFonts w:asciiTheme="minorHAnsi" w:hAnsiTheme="minorHAnsi" w:cs="Arial"/>
        </w:rPr>
        <w:t xml:space="preserve"> side effects. </w:t>
      </w:r>
      <w:r w:rsidR="00464B14" w:rsidRPr="008D3FDF">
        <w:rPr>
          <w:rFonts w:asciiTheme="minorHAnsi" w:hAnsiTheme="minorHAnsi" w:cs="Arial"/>
        </w:rPr>
        <w:t xml:space="preserve">On September 10th, the FDA granted approval of </w:t>
      </w:r>
      <w:r w:rsidR="00EC06B0">
        <w:rPr>
          <w:rFonts w:asciiTheme="minorHAnsi" w:hAnsiTheme="minorHAnsi" w:cs="Arial"/>
        </w:rPr>
        <w:t>the</w:t>
      </w:r>
      <w:r w:rsidR="00464B14" w:rsidRPr="008D3FDF">
        <w:rPr>
          <w:rFonts w:asciiTheme="minorHAnsi" w:hAnsiTheme="minorHAnsi" w:cs="Arial"/>
        </w:rPr>
        <w:t xml:space="preserve"> new chronic weight-loss drug, Contrave (naltrexone and bupropion extended-release</w:t>
      </w:r>
      <w:r w:rsidR="00464B14">
        <w:rPr>
          <w:rFonts w:asciiTheme="minorHAnsi" w:hAnsiTheme="minorHAnsi" w:cs="Arial"/>
        </w:rPr>
        <w:t>).</w:t>
      </w:r>
      <w:r w:rsidR="00464B14" w:rsidRPr="008D3FDF">
        <w:rPr>
          <w:rFonts w:asciiTheme="minorHAnsi" w:hAnsiTheme="minorHAnsi" w:cs="Arial"/>
        </w:rPr>
        <w:t xml:space="preserve"> </w:t>
      </w:r>
      <w:r w:rsidR="00676894">
        <w:rPr>
          <w:rFonts w:asciiTheme="minorHAnsi" w:hAnsiTheme="minorHAnsi" w:cs="Arial"/>
        </w:rPr>
        <w:t xml:space="preserve"> </w:t>
      </w:r>
      <w:r w:rsidR="00464B14">
        <w:rPr>
          <w:rFonts w:asciiTheme="minorHAnsi" w:hAnsiTheme="minorHAnsi" w:cs="Arial"/>
        </w:rPr>
        <w:t xml:space="preserve">Due to Contrave’s </w:t>
      </w:r>
      <w:r w:rsidR="009A001B" w:rsidRPr="008D3FDF">
        <w:rPr>
          <w:rFonts w:asciiTheme="minorHAnsi" w:hAnsiTheme="minorHAnsi" w:cs="Arial"/>
        </w:rPr>
        <w:t>safety profile</w:t>
      </w:r>
      <w:r w:rsidR="000A3523">
        <w:rPr>
          <w:rFonts w:asciiTheme="minorHAnsi" w:hAnsiTheme="minorHAnsi" w:cs="Arial"/>
        </w:rPr>
        <w:t xml:space="preserve"> (Black Box Warning – suicide/neuropsychiatric reactions)</w:t>
      </w:r>
      <w:r w:rsidR="00EC06B0">
        <w:rPr>
          <w:rFonts w:asciiTheme="minorHAnsi" w:hAnsiTheme="minorHAnsi" w:cs="Arial"/>
        </w:rPr>
        <w:t>,</w:t>
      </w:r>
      <w:r w:rsidR="009A001B" w:rsidRPr="008D3FDF">
        <w:rPr>
          <w:rFonts w:asciiTheme="minorHAnsi" w:hAnsiTheme="minorHAnsi" w:cs="Arial"/>
        </w:rPr>
        <w:t xml:space="preserve"> significant </w:t>
      </w:r>
      <w:r w:rsidR="00143EE1" w:rsidRPr="008D3FDF">
        <w:rPr>
          <w:rFonts w:asciiTheme="minorHAnsi" w:hAnsiTheme="minorHAnsi" w:cs="Arial"/>
        </w:rPr>
        <w:t xml:space="preserve">public safety </w:t>
      </w:r>
      <w:r w:rsidR="00C359D1">
        <w:rPr>
          <w:rFonts w:asciiTheme="minorHAnsi" w:hAnsiTheme="minorHAnsi" w:cs="Arial"/>
        </w:rPr>
        <w:t>issue</w:t>
      </w:r>
      <w:r w:rsidR="009A001B" w:rsidRPr="008D3FDF">
        <w:rPr>
          <w:rFonts w:asciiTheme="minorHAnsi" w:hAnsiTheme="minorHAnsi" w:cs="Arial"/>
        </w:rPr>
        <w:t>s</w:t>
      </w:r>
      <w:r w:rsidR="00464B14">
        <w:rPr>
          <w:rFonts w:asciiTheme="minorHAnsi" w:hAnsiTheme="minorHAnsi" w:cs="Arial"/>
        </w:rPr>
        <w:t xml:space="preserve"> are</w:t>
      </w:r>
      <w:r w:rsidR="000D4A5A">
        <w:rPr>
          <w:rFonts w:asciiTheme="minorHAnsi" w:hAnsiTheme="minorHAnsi" w:cs="Arial"/>
        </w:rPr>
        <w:t xml:space="preserve"> being</w:t>
      </w:r>
      <w:r w:rsidR="00464B14">
        <w:rPr>
          <w:rFonts w:asciiTheme="minorHAnsi" w:hAnsiTheme="minorHAnsi" w:cs="Arial"/>
        </w:rPr>
        <w:t xml:space="preserve"> raised</w:t>
      </w:r>
      <w:r w:rsidR="00676894">
        <w:rPr>
          <w:rFonts w:asciiTheme="minorHAnsi" w:hAnsiTheme="minorHAnsi" w:cs="Arial"/>
        </w:rPr>
        <w:t>.</w:t>
      </w:r>
    </w:p>
    <w:p w:rsidR="00E36BD6" w:rsidRDefault="00E36BD6" w:rsidP="009A001B">
      <w:pPr>
        <w:pStyle w:val="NormalWeb"/>
        <w:shd w:val="clear" w:color="auto" w:fill="FFFFFF"/>
        <w:spacing w:before="2" w:after="2" w:line="336" w:lineRule="atLeast"/>
        <w:rPr>
          <w:rFonts w:asciiTheme="minorHAnsi" w:hAnsiTheme="minorHAnsi" w:cs="Arial"/>
        </w:rPr>
      </w:pPr>
    </w:p>
    <w:p w:rsidR="009A001B" w:rsidRPr="008D3FDF" w:rsidRDefault="00E36BD6" w:rsidP="009A001B">
      <w:pPr>
        <w:pStyle w:val="NormalWeb"/>
        <w:shd w:val="clear" w:color="auto" w:fill="FFFFFF"/>
        <w:spacing w:before="2" w:after="2" w:line="336" w:lineRule="atLeast"/>
        <w:rPr>
          <w:rFonts w:asciiTheme="minorHAnsi" w:hAnsiTheme="minorHAnsi" w:cs="Arial"/>
        </w:rPr>
      </w:pPr>
      <w:r>
        <w:rPr>
          <w:rFonts w:asciiTheme="minorHAnsi" w:hAnsiTheme="minorHAnsi" w:cs="Arial"/>
        </w:rPr>
        <w:t>I</w:t>
      </w:r>
      <w:r w:rsidR="00143EE1" w:rsidRPr="008D3FDF">
        <w:rPr>
          <w:rFonts w:asciiTheme="minorHAnsi" w:hAnsiTheme="minorHAnsi" w:cs="Arial"/>
        </w:rPr>
        <w:t>n response</w:t>
      </w:r>
      <w:r>
        <w:rPr>
          <w:rFonts w:asciiTheme="minorHAnsi" w:hAnsiTheme="minorHAnsi" w:cs="Arial"/>
        </w:rPr>
        <w:t xml:space="preserve"> to these safety concerns</w:t>
      </w:r>
      <w:r w:rsidR="00143EE1" w:rsidRPr="008D3FDF">
        <w:rPr>
          <w:rFonts w:asciiTheme="minorHAnsi" w:hAnsiTheme="minorHAnsi" w:cs="Arial"/>
        </w:rPr>
        <w:t>,</w:t>
      </w:r>
      <w:r w:rsidR="00E75211" w:rsidRPr="008D3FDF">
        <w:rPr>
          <w:rFonts w:asciiTheme="minorHAnsi" w:hAnsiTheme="minorHAnsi" w:cs="Arial"/>
        </w:rPr>
        <w:t xml:space="preserve"> </w:t>
      </w:r>
      <w:r w:rsidR="00E75211" w:rsidRPr="008D3FDF">
        <w:rPr>
          <w:rFonts w:asciiTheme="minorHAnsi" w:hAnsiTheme="minorHAnsi"/>
          <w:shd w:val="clear" w:color="auto" w:fill="FEFEFE"/>
        </w:rPr>
        <w:t xml:space="preserve">AdverseEvents, Inc., </w:t>
      </w:r>
      <w:r w:rsidR="00143EE1" w:rsidRPr="008D3FDF">
        <w:rPr>
          <w:rFonts w:asciiTheme="minorHAnsi" w:hAnsiTheme="minorHAnsi" w:cs="Arial"/>
        </w:rPr>
        <w:t xml:space="preserve">has </w:t>
      </w:r>
      <w:r w:rsidR="00E75211" w:rsidRPr="008D3FDF">
        <w:rPr>
          <w:rFonts w:asciiTheme="minorHAnsi" w:hAnsiTheme="minorHAnsi" w:cs="Arial"/>
        </w:rPr>
        <w:t>generate</w:t>
      </w:r>
      <w:r w:rsidR="00143EE1" w:rsidRPr="008D3FDF">
        <w:rPr>
          <w:rFonts w:asciiTheme="minorHAnsi" w:hAnsiTheme="minorHAnsi" w:cs="Arial"/>
        </w:rPr>
        <w:t>d the accompanying</w:t>
      </w:r>
      <w:r w:rsidR="00E75211" w:rsidRPr="008D3FDF">
        <w:rPr>
          <w:rFonts w:asciiTheme="minorHAnsi" w:hAnsiTheme="minorHAnsi" w:cs="Arial"/>
        </w:rPr>
        <w:t xml:space="preserve"> report</w:t>
      </w:r>
      <w:r w:rsidR="00143EE1" w:rsidRPr="008D3FDF">
        <w:rPr>
          <w:rFonts w:asciiTheme="minorHAnsi" w:hAnsiTheme="minorHAnsi" w:cs="Arial"/>
        </w:rPr>
        <w:t xml:space="preserve"> to highlight</w:t>
      </w:r>
      <w:r w:rsidR="00EC06B0">
        <w:rPr>
          <w:rFonts w:asciiTheme="minorHAnsi" w:hAnsiTheme="minorHAnsi" w:cs="Arial"/>
        </w:rPr>
        <w:t xml:space="preserve"> and contrast</w:t>
      </w:r>
      <w:r>
        <w:rPr>
          <w:rFonts w:asciiTheme="minorHAnsi" w:hAnsiTheme="minorHAnsi" w:cs="Arial"/>
        </w:rPr>
        <w:t xml:space="preserve"> the safety profiles</w:t>
      </w:r>
      <w:r w:rsidR="00143EE1" w:rsidRPr="008D3FDF">
        <w:rPr>
          <w:rFonts w:asciiTheme="minorHAnsi" w:hAnsiTheme="minorHAnsi" w:cs="Arial"/>
        </w:rPr>
        <w:t xml:space="preserve"> for Contrave and </w:t>
      </w:r>
      <w:r w:rsidR="00C359D1">
        <w:rPr>
          <w:rFonts w:asciiTheme="minorHAnsi" w:hAnsiTheme="minorHAnsi" w:cs="Arial"/>
        </w:rPr>
        <w:t>five other competing drug treatments</w:t>
      </w:r>
      <w:r w:rsidR="000D4A5A">
        <w:rPr>
          <w:rFonts w:asciiTheme="minorHAnsi" w:hAnsiTheme="minorHAnsi" w:cs="Arial"/>
        </w:rPr>
        <w:t xml:space="preserve"> for obesity</w:t>
      </w:r>
      <w:r w:rsidR="00C359D1">
        <w:rPr>
          <w:rFonts w:asciiTheme="minorHAnsi" w:hAnsiTheme="minorHAnsi" w:cs="Arial"/>
        </w:rPr>
        <w:t>.</w:t>
      </w:r>
    </w:p>
    <w:p w:rsidR="000D4A5A" w:rsidRDefault="000D4A5A" w:rsidP="008D3FDF">
      <w:pPr>
        <w:pStyle w:val="NormalWeb"/>
        <w:shd w:val="clear" w:color="auto" w:fill="FFFFFF"/>
        <w:spacing w:beforeLines="0" w:afterLines="0" w:after="0" w:line="336" w:lineRule="atLeast"/>
        <w:rPr>
          <w:rFonts w:asciiTheme="minorHAnsi" w:hAnsiTheme="minorHAnsi" w:cs="Arial"/>
        </w:rPr>
      </w:pPr>
    </w:p>
    <w:p w:rsidR="009A001B" w:rsidRPr="00EC06B0" w:rsidRDefault="000D4A5A" w:rsidP="008D3FDF">
      <w:pPr>
        <w:pStyle w:val="NormalWeb"/>
        <w:shd w:val="clear" w:color="auto" w:fill="FFFFFF"/>
        <w:spacing w:beforeLines="0" w:afterLines="0" w:after="0" w:line="336" w:lineRule="atLeast"/>
        <w:rPr>
          <w:rFonts w:asciiTheme="minorHAnsi" w:hAnsiTheme="minorHAnsi" w:cs="Arial"/>
          <w:b/>
        </w:rPr>
      </w:pPr>
      <w:r w:rsidRPr="00EC06B0">
        <w:rPr>
          <w:rFonts w:asciiTheme="minorHAnsi" w:hAnsiTheme="minorHAnsi" w:cs="Arial"/>
          <w:b/>
        </w:rPr>
        <w:t>Highlights include</w:t>
      </w:r>
      <w:r w:rsidR="009A001B" w:rsidRPr="00EC06B0">
        <w:rPr>
          <w:rFonts w:asciiTheme="minorHAnsi" w:hAnsiTheme="minorHAnsi" w:cs="Arial"/>
          <w:b/>
        </w:rPr>
        <w:t>:</w:t>
      </w:r>
    </w:p>
    <w:p w:rsidR="008D3FDF" w:rsidRDefault="00C359D1" w:rsidP="008D3FDF">
      <w:pPr>
        <w:numPr>
          <w:ilvl w:val="0"/>
          <w:numId w:val="4"/>
        </w:numPr>
        <w:shd w:val="clear" w:color="auto" w:fill="FFFFFF"/>
        <w:spacing w:after="0" w:line="336" w:lineRule="atLeast"/>
        <w:rPr>
          <w:rFonts w:cs="Arial"/>
          <w:b/>
          <w:sz w:val="20"/>
          <w:szCs w:val="20"/>
        </w:rPr>
      </w:pPr>
      <w:r>
        <w:rPr>
          <w:rFonts w:cs="Arial"/>
          <w:b/>
          <w:sz w:val="20"/>
          <w:szCs w:val="20"/>
        </w:rPr>
        <w:t>Drug comparison</w:t>
      </w:r>
      <w:r w:rsidR="00492EEE">
        <w:rPr>
          <w:rFonts w:cs="Arial"/>
          <w:b/>
          <w:sz w:val="20"/>
          <w:szCs w:val="20"/>
        </w:rPr>
        <w:t xml:space="preserve"> listing of</w:t>
      </w:r>
      <w:r w:rsidR="008D3FDF">
        <w:rPr>
          <w:rFonts w:cs="Arial"/>
          <w:b/>
          <w:sz w:val="20"/>
          <w:szCs w:val="20"/>
        </w:rPr>
        <w:t xml:space="preserve"> Outcomes including Death, </w:t>
      </w:r>
      <w:r w:rsidR="009075C1">
        <w:rPr>
          <w:rFonts w:cs="Arial"/>
          <w:b/>
          <w:sz w:val="20"/>
          <w:szCs w:val="20"/>
        </w:rPr>
        <w:t>Hospitalization</w:t>
      </w:r>
      <w:r w:rsidR="008D3FDF">
        <w:rPr>
          <w:rFonts w:cs="Arial"/>
          <w:b/>
          <w:sz w:val="20"/>
          <w:szCs w:val="20"/>
        </w:rPr>
        <w:t xml:space="preserve"> and Disability</w:t>
      </w:r>
    </w:p>
    <w:p w:rsidR="00492EEE" w:rsidRDefault="00492EEE" w:rsidP="008D3FDF">
      <w:pPr>
        <w:numPr>
          <w:ilvl w:val="0"/>
          <w:numId w:val="4"/>
        </w:numPr>
        <w:shd w:val="clear" w:color="auto" w:fill="FFFFFF"/>
        <w:spacing w:after="0" w:line="336" w:lineRule="atLeast"/>
        <w:rPr>
          <w:rFonts w:cs="Arial"/>
          <w:b/>
          <w:sz w:val="20"/>
          <w:szCs w:val="20"/>
        </w:rPr>
      </w:pPr>
      <w:r>
        <w:rPr>
          <w:rFonts w:cs="Arial"/>
          <w:b/>
          <w:sz w:val="20"/>
          <w:szCs w:val="20"/>
        </w:rPr>
        <w:t>RxScore comparisons –highest</w:t>
      </w:r>
      <w:r w:rsidR="000A3523">
        <w:rPr>
          <w:rFonts w:cs="Arial"/>
          <w:b/>
          <w:sz w:val="20"/>
          <w:szCs w:val="20"/>
        </w:rPr>
        <w:t xml:space="preserve"> (Desoxyn)</w:t>
      </w:r>
      <w:r>
        <w:rPr>
          <w:rFonts w:cs="Arial"/>
          <w:b/>
          <w:sz w:val="20"/>
          <w:szCs w:val="20"/>
        </w:rPr>
        <w:t xml:space="preserve"> and lowest</w:t>
      </w:r>
      <w:r w:rsidR="000A3523">
        <w:rPr>
          <w:rFonts w:cs="Arial"/>
          <w:b/>
          <w:sz w:val="20"/>
          <w:szCs w:val="20"/>
        </w:rPr>
        <w:t xml:space="preserve"> (Qsymia) </w:t>
      </w:r>
      <w:r>
        <w:rPr>
          <w:rFonts w:cs="Arial"/>
          <w:b/>
          <w:sz w:val="20"/>
          <w:szCs w:val="20"/>
        </w:rPr>
        <w:t xml:space="preserve"> safety profiles</w:t>
      </w:r>
    </w:p>
    <w:p w:rsidR="009A001B" w:rsidRPr="008D3FDF" w:rsidRDefault="00B11243" w:rsidP="008D3FDF">
      <w:pPr>
        <w:numPr>
          <w:ilvl w:val="0"/>
          <w:numId w:val="4"/>
        </w:numPr>
        <w:shd w:val="clear" w:color="auto" w:fill="FFFFFF"/>
        <w:spacing w:after="0" w:line="336" w:lineRule="atLeast"/>
        <w:rPr>
          <w:rFonts w:cs="Arial"/>
          <w:b/>
          <w:sz w:val="20"/>
          <w:szCs w:val="20"/>
        </w:rPr>
      </w:pPr>
      <w:r>
        <w:rPr>
          <w:rFonts w:cs="Arial"/>
          <w:b/>
          <w:sz w:val="20"/>
          <w:szCs w:val="20"/>
        </w:rPr>
        <w:t>Comparison of</w:t>
      </w:r>
      <w:r w:rsidR="009A001B" w:rsidRPr="008D3FDF">
        <w:rPr>
          <w:rFonts w:cs="Arial"/>
          <w:b/>
          <w:sz w:val="20"/>
          <w:szCs w:val="20"/>
        </w:rPr>
        <w:t xml:space="preserve"> on-label </w:t>
      </w:r>
      <w:proofErr w:type="spellStart"/>
      <w:r w:rsidR="009A001B" w:rsidRPr="008D3FDF">
        <w:rPr>
          <w:rFonts w:cs="Arial"/>
          <w:b/>
          <w:sz w:val="20"/>
          <w:szCs w:val="20"/>
        </w:rPr>
        <w:t>Contrave</w:t>
      </w:r>
      <w:proofErr w:type="spellEnd"/>
      <w:r w:rsidR="009A001B" w:rsidRPr="008D3FDF">
        <w:rPr>
          <w:rFonts w:cs="Arial"/>
          <w:b/>
          <w:sz w:val="20"/>
          <w:szCs w:val="20"/>
        </w:rPr>
        <w:t xml:space="preserve"> adverse events </w:t>
      </w:r>
      <w:r>
        <w:rPr>
          <w:rFonts w:cs="Arial"/>
          <w:b/>
          <w:sz w:val="20"/>
          <w:szCs w:val="20"/>
        </w:rPr>
        <w:t>to reported adverse events for Belviq and Qsymia</w:t>
      </w:r>
    </w:p>
    <w:p w:rsidR="0024694B" w:rsidRPr="008D3FDF" w:rsidRDefault="00492EEE" w:rsidP="008D3FDF">
      <w:pPr>
        <w:numPr>
          <w:ilvl w:val="0"/>
          <w:numId w:val="4"/>
        </w:numPr>
        <w:shd w:val="clear" w:color="auto" w:fill="FFFFFF"/>
        <w:spacing w:before="100" w:beforeAutospacing="1" w:after="100" w:afterAutospacing="1" w:line="336" w:lineRule="atLeast"/>
        <w:rPr>
          <w:rFonts w:cs="Arial"/>
          <w:b/>
          <w:sz w:val="20"/>
          <w:szCs w:val="20"/>
        </w:rPr>
      </w:pPr>
      <w:r>
        <w:rPr>
          <w:rFonts w:cs="Arial"/>
          <w:b/>
          <w:sz w:val="20"/>
          <w:szCs w:val="20"/>
        </w:rPr>
        <w:t xml:space="preserve">Off-label </w:t>
      </w:r>
      <w:r w:rsidR="009A001B" w:rsidRPr="008D3FDF">
        <w:rPr>
          <w:rFonts w:cs="Arial"/>
          <w:b/>
          <w:sz w:val="20"/>
          <w:szCs w:val="20"/>
        </w:rPr>
        <w:t>adverse events that may trigger future pharmacovigilance action</w:t>
      </w:r>
      <w:r w:rsidR="009A001B" w:rsidRPr="008D3FDF">
        <w:rPr>
          <w:rFonts w:cs="Arial"/>
          <w:b/>
          <w:sz w:val="20"/>
          <w:szCs w:val="20"/>
          <w:shd w:val="clear" w:color="auto" w:fill="FFFFFF"/>
        </w:rPr>
        <w:t> </w:t>
      </w:r>
      <w:r w:rsidR="00B11243">
        <w:rPr>
          <w:rFonts w:cs="Arial"/>
          <w:b/>
          <w:sz w:val="20"/>
          <w:szCs w:val="20"/>
          <w:shd w:val="clear" w:color="auto" w:fill="FFFFFF"/>
        </w:rPr>
        <w:t>for Qsymia</w:t>
      </w:r>
    </w:p>
    <w:p w:rsidR="009A001B" w:rsidRPr="008D3FDF" w:rsidRDefault="009A001B" w:rsidP="008D3FDF">
      <w:pPr>
        <w:spacing w:after="0" w:line="240" w:lineRule="auto"/>
        <w:rPr>
          <w:rFonts w:cs="Times New Roman"/>
          <w:b/>
          <w:sz w:val="20"/>
          <w:szCs w:val="20"/>
        </w:rPr>
      </w:pPr>
      <w:r w:rsidRPr="008D3FDF">
        <w:rPr>
          <w:rFonts w:cs="Arial"/>
          <w:b/>
          <w:sz w:val="20"/>
          <w:szCs w:val="20"/>
        </w:rPr>
        <w:t>Drugs included in this report include:</w:t>
      </w:r>
    </w:p>
    <w:p w:rsidR="009A001B" w:rsidRPr="008D3FDF" w:rsidRDefault="009A001B" w:rsidP="008D3FDF">
      <w:pPr>
        <w:numPr>
          <w:ilvl w:val="0"/>
          <w:numId w:val="5"/>
        </w:numPr>
        <w:shd w:val="clear" w:color="auto" w:fill="FFFFFF"/>
        <w:spacing w:after="0" w:line="240" w:lineRule="auto"/>
        <w:rPr>
          <w:rFonts w:cs="Arial"/>
          <w:b/>
          <w:sz w:val="20"/>
          <w:szCs w:val="20"/>
        </w:rPr>
      </w:pPr>
      <w:r w:rsidRPr="008D3FDF">
        <w:rPr>
          <w:rFonts w:cs="Arial"/>
          <w:b/>
          <w:sz w:val="20"/>
          <w:szCs w:val="20"/>
        </w:rPr>
        <w:t>Alli (orlistat), GlaxoSmithKline</w:t>
      </w:r>
    </w:p>
    <w:p w:rsidR="009A001B" w:rsidRPr="008D3FDF" w:rsidRDefault="009A001B" w:rsidP="009A001B">
      <w:pPr>
        <w:numPr>
          <w:ilvl w:val="0"/>
          <w:numId w:val="5"/>
        </w:numPr>
        <w:shd w:val="clear" w:color="auto" w:fill="FFFFFF"/>
        <w:spacing w:before="100" w:beforeAutospacing="1" w:after="100" w:afterAutospacing="1" w:line="336" w:lineRule="atLeast"/>
        <w:rPr>
          <w:rFonts w:cs="Arial"/>
          <w:b/>
          <w:sz w:val="20"/>
          <w:szCs w:val="20"/>
        </w:rPr>
      </w:pPr>
      <w:r w:rsidRPr="008D3FDF">
        <w:rPr>
          <w:rFonts w:cs="Arial"/>
          <w:b/>
          <w:sz w:val="20"/>
          <w:szCs w:val="20"/>
        </w:rPr>
        <w:t>Belviq (lorcaserin hydrochloride), Eisai</w:t>
      </w:r>
      <w:r w:rsidR="009075C1">
        <w:rPr>
          <w:rFonts w:cs="Arial"/>
          <w:b/>
          <w:sz w:val="20"/>
          <w:szCs w:val="20"/>
        </w:rPr>
        <w:t>, Arena Pharmaceuticals</w:t>
      </w:r>
    </w:p>
    <w:p w:rsidR="009A001B" w:rsidRPr="008D3FDF" w:rsidRDefault="009A001B" w:rsidP="009A001B">
      <w:pPr>
        <w:numPr>
          <w:ilvl w:val="0"/>
          <w:numId w:val="5"/>
        </w:numPr>
        <w:shd w:val="clear" w:color="auto" w:fill="FFFFFF"/>
        <w:spacing w:before="100" w:beforeAutospacing="1" w:after="100" w:afterAutospacing="1" w:line="336" w:lineRule="atLeast"/>
        <w:rPr>
          <w:rFonts w:cs="Arial"/>
          <w:b/>
          <w:sz w:val="20"/>
          <w:szCs w:val="20"/>
        </w:rPr>
      </w:pPr>
      <w:r w:rsidRPr="008D3FDF">
        <w:rPr>
          <w:rFonts w:cs="Arial"/>
          <w:b/>
          <w:sz w:val="20"/>
          <w:szCs w:val="20"/>
        </w:rPr>
        <w:t>Contrave (bupropion hydrochloride; naltrexone hydrochloride), Orexigen Therapeutics</w:t>
      </w:r>
    </w:p>
    <w:p w:rsidR="009A001B" w:rsidRPr="008D3FDF" w:rsidRDefault="009A001B" w:rsidP="009A001B">
      <w:pPr>
        <w:numPr>
          <w:ilvl w:val="0"/>
          <w:numId w:val="5"/>
        </w:numPr>
        <w:shd w:val="clear" w:color="auto" w:fill="FFFFFF"/>
        <w:spacing w:before="100" w:beforeAutospacing="1" w:after="100" w:afterAutospacing="1" w:line="336" w:lineRule="atLeast"/>
        <w:rPr>
          <w:rFonts w:cs="Arial"/>
          <w:b/>
          <w:sz w:val="20"/>
          <w:szCs w:val="20"/>
        </w:rPr>
      </w:pPr>
      <w:r w:rsidRPr="008D3FDF">
        <w:rPr>
          <w:rFonts w:cs="Arial"/>
          <w:b/>
          <w:sz w:val="20"/>
          <w:szCs w:val="20"/>
        </w:rPr>
        <w:t>Phentermine (phentermine)</w:t>
      </w:r>
    </w:p>
    <w:p w:rsidR="009A001B" w:rsidRPr="008D3FDF" w:rsidRDefault="009A001B" w:rsidP="009A001B">
      <w:pPr>
        <w:numPr>
          <w:ilvl w:val="0"/>
          <w:numId w:val="5"/>
        </w:numPr>
        <w:shd w:val="clear" w:color="auto" w:fill="FFFFFF"/>
        <w:spacing w:before="100" w:beforeAutospacing="1" w:after="100" w:afterAutospacing="1" w:line="336" w:lineRule="atLeast"/>
        <w:rPr>
          <w:rFonts w:cs="Arial"/>
          <w:b/>
          <w:sz w:val="20"/>
          <w:szCs w:val="20"/>
        </w:rPr>
      </w:pPr>
      <w:r w:rsidRPr="008D3FDF">
        <w:rPr>
          <w:rFonts w:cs="Arial"/>
          <w:b/>
          <w:sz w:val="20"/>
          <w:szCs w:val="20"/>
        </w:rPr>
        <w:t>Qsymia (phentermine hydrochloride; topiramate), Vivus</w:t>
      </w:r>
    </w:p>
    <w:p w:rsidR="0024694B" w:rsidRDefault="009A001B" w:rsidP="008D3FDF">
      <w:pPr>
        <w:numPr>
          <w:ilvl w:val="0"/>
          <w:numId w:val="5"/>
        </w:numPr>
        <w:shd w:val="clear" w:color="auto" w:fill="FFFFFF"/>
        <w:spacing w:before="100" w:beforeAutospacing="1" w:after="100" w:afterAutospacing="1" w:line="336" w:lineRule="atLeast"/>
        <w:rPr>
          <w:rFonts w:cs="Arial"/>
          <w:b/>
          <w:sz w:val="20"/>
          <w:szCs w:val="20"/>
        </w:rPr>
      </w:pPr>
      <w:r w:rsidRPr="008D3FDF">
        <w:rPr>
          <w:rFonts w:cs="Arial"/>
          <w:b/>
          <w:sz w:val="20"/>
          <w:szCs w:val="20"/>
        </w:rPr>
        <w:t>Xenical (orlistat), Roche</w:t>
      </w:r>
    </w:p>
    <w:p w:rsidR="00C359D1" w:rsidRDefault="005603E0" w:rsidP="00C359D1">
      <w:pPr>
        <w:shd w:val="clear" w:color="auto" w:fill="FFFFFF"/>
        <w:spacing w:before="100" w:beforeAutospacing="1" w:after="100" w:afterAutospacing="1" w:line="336" w:lineRule="atLeast"/>
        <w:rPr>
          <w:rFonts w:cs="Arial"/>
          <w:b/>
          <w:sz w:val="20"/>
          <w:szCs w:val="20"/>
        </w:rPr>
      </w:pPr>
      <w:hyperlink r:id="rId7" w:history="1">
        <w:r w:rsidR="00C359D1" w:rsidRPr="005603E0">
          <w:rPr>
            <w:rStyle w:val="Hyperlink"/>
            <w:rFonts w:cs="Arial"/>
            <w:b/>
            <w:sz w:val="20"/>
            <w:szCs w:val="20"/>
          </w:rPr>
          <w:t>Click here to view the Report</w:t>
        </w:r>
      </w:hyperlink>
      <w:bookmarkStart w:id="0" w:name="_GoBack"/>
      <w:bookmarkEnd w:id="0"/>
    </w:p>
    <w:p w:rsidR="00C359D1" w:rsidRPr="008D3FDF" w:rsidRDefault="00C359D1" w:rsidP="00C359D1">
      <w:pPr>
        <w:shd w:val="clear" w:color="auto" w:fill="FFFFFF"/>
        <w:spacing w:before="100" w:beforeAutospacing="1" w:after="100" w:afterAutospacing="1" w:line="336" w:lineRule="atLeast"/>
        <w:rPr>
          <w:rFonts w:cs="Arial"/>
          <w:b/>
          <w:sz w:val="20"/>
          <w:szCs w:val="20"/>
        </w:rPr>
      </w:pPr>
    </w:p>
    <w:p w:rsidR="0022363E" w:rsidRPr="008D3FDF" w:rsidRDefault="004B38BF" w:rsidP="009A001B">
      <w:pPr>
        <w:rPr>
          <w:rFonts w:cs="Times New Roman"/>
          <w:sz w:val="20"/>
          <w:szCs w:val="20"/>
        </w:rPr>
      </w:pPr>
      <w:r w:rsidRPr="008D3FDF">
        <w:rPr>
          <w:rFonts w:cs="Times New Roman"/>
          <w:b/>
          <w:sz w:val="20"/>
          <w:szCs w:val="20"/>
          <w:u w:val="single"/>
        </w:rPr>
        <w:t>ABOUT ADVERSE EVENTS, INC.</w:t>
      </w:r>
    </w:p>
    <w:p w:rsidR="000D6264" w:rsidRPr="000D4A5A" w:rsidRDefault="0022363E" w:rsidP="000D4A5A">
      <w:pPr>
        <w:shd w:val="clear" w:color="auto" w:fill="FEFEFE"/>
        <w:spacing w:beforeLines="1" w:before="2" w:afterLines="1" w:after="2" w:line="240" w:lineRule="auto"/>
        <w:rPr>
          <w:rFonts w:cs="Times New Roman"/>
          <w:sz w:val="20"/>
          <w:szCs w:val="20"/>
        </w:rPr>
      </w:pPr>
      <w:r w:rsidRPr="008D3FDF">
        <w:rPr>
          <w:rFonts w:cs="Times New Roman"/>
          <w:sz w:val="20"/>
          <w:szCs w:val="20"/>
        </w:rPr>
        <w:t xml:space="preserve">AdverseEvents, Inc. (AEI) is a California-based healthcare informatics company that improves patient safety and reduces systemic </w:t>
      </w:r>
      <w:r w:rsidR="008D3FDF" w:rsidRPr="008D3FDF">
        <w:rPr>
          <w:rFonts w:cs="Times New Roman"/>
          <w:sz w:val="20"/>
          <w:szCs w:val="20"/>
        </w:rPr>
        <w:t>healthcare costs through</w:t>
      </w:r>
      <w:r w:rsidRPr="008D3FDF">
        <w:rPr>
          <w:rFonts w:cs="Times New Roman"/>
          <w:sz w:val="20"/>
          <w:szCs w:val="20"/>
        </w:rPr>
        <w:t xml:space="preserve"> comprehensive </w:t>
      </w:r>
      <w:r w:rsidR="0024694B" w:rsidRPr="008D3FDF">
        <w:rPr>
          <w:rFonts w:cs="Times New Roman"/>
          <w:sz w:val="20"/>
          <w:szCs w:val="20"/>
        </w:rPr>
        <w:t xml:space="preserve">data mining and </w:t>
      </w:r>
      <w:r w:rsidRPr="008D3FDF">
        <w:rPr>
          <w:rFonts w:cs="Times New Roman"/>
          <w:sz w:val="20"/>
          <w:szCs w:val="20"/>
        </w:rPr>
        <w:t xml:space="preserve">analysis of post-marketing drug side </w:t>
      </w:r>
      <w:r w:rsidRPr="008D3FDF">
        <w:rPr>
          <w:rFonts w:cs="Times New Roman"/>
          <w:sz w:val="20"/>
          <w:szCs w:val="20"/>
        </w:rPr>
        <w:lastRenderedPageBreak/>
        <w:t>effect data</w:t>
      </w:r>
      <w:r w:rsidR="0024694B" w:rsidRPr="008D3FDF">
        <w:rPr>
          <w:rFonts w:cs="Times New Roman"/>
          <w:sz w:val="20"/>
          <w:szCs w:val="20"/>
        </w:rPr>
        <w:t xml:space="preserve">. </w:t>
      </w:r>
      <w:r w:rsidR="0091377D" w:rsidRPr="008D3FDF">
        <w:rPr>
          <w:rFonts w:cs="Times New Roman"/>
          <w:sz w:val="20"/>
          <w:szCs w:val="20"/>
        </w:rPr>
        <w:t xml:space="preserve">AEI is one of the foremost research authorities on drug side effects – publishing comparative drug studies, industry white papers, topical special reports, and platform validating research papers in leading academic journals. </w:t>
      </w:r>
      <w:r w:rsidR="0024694B" w:rsidRPr="008D3FDF">
        <w:rPr>
          <w:rFonts w:cs="Times New Roman"/>
          <w:sz w:val="20"/>
          <w:szCs w:val="20"/>
        </w:rPr>
        <w:t>. AEI makes post-marketing drug safety data accessib</w:t>
      </w:r>
      <w:r w:rsidR="000D4A5A">
        <w:rPr>
          <w:rFonts w:cs="Times New Roman"/>
          <w:sz w:val="20"/>
          <w:szCs w:val="20"/>
        </w:rPr>
        <w:t>le, actionable, and predictable,</w:t>
      </w:r>
      <w:r w:rsidR="000D6264" w:rsidRPr="008D3FDF">
        <w:rPr>
          <w:sz w:val="20"/>
          <w:szCs w:val="20"/>
        </w:rPr>
        <w:t> </w:t>
      </w:r>
    </w:p>
    <w:p w:rsidR="00464B14" w:rsidRPr="006B2B8C" w:rsidRDefault="00464B14" w:rsidP="00464B14">
      <w:pPr>
        <w:pStyle w:val="NormalWeb"/>
        <w:numPr>
          <w:ilvl w:val="0"/>
          <w:numId w:val="2"/>
        </w:numPr>
        <w:shd w:val="clear" w:color="auto" w:fill="FFFFFF"/>
        <w:spacing w:before="2" w:afterLines="0" w:line="450" w:lineRule="atLeast"/>
        <w:rPr>
          <w:rFonts w:asciiTheme="minorHAnsi" w:hAnsiTheme="minorHAnsi"/>
          <w:color w:val="444444"/>
          <w:sz w:val="16"/>
          <w:szCs w:val="30"/>
        </w:rPr>
      </w:pPr>
      <w:r w:rsidRPr="006B2B8C">
        <w:rPr>
          <w:rStyle w:val="Emphasis"/>
          <w:rFonts w:asciiTheme="minorHAnsi" w:hAnsiTheme="minorHAnsi"/>
          <w:i w:val="0"/>
          <w:color w:val="444444"/>
          <w:sz w:val="16"/>
          <w:szCs w:val="22"/>
        </w:rPr>
        <w:t>Please note - This report MAY NOT BE REPRODUCED, DISPLAYED, MODIFIED, DISTRIBUTED or LINKED TO without the express prior written permission of the copyright holder. AdverseEvents Inc</w:t>
      </w:r>
      <w:r w:rsidR="009075C1">
        <w:rPr>
          <w:rStyle w:val="Emphasis"/>
          <w:rFonts w:asciiTheme="minorHAnsi" w:hAnsiTheme="minorHAnsi"/>
          <w:i w:val="0"/>
          <w:color w:val="444444"/>
          <w:sz w:val="16"/>
          <w:szCs w:val="22"/>
        </w:rPr>
        <w:t>.</w:t>
      </w:r>
      <w:r w:rsidRPr="006B2B8C">
        <w:rPr>
          <w:rStyle w:val="Emphasis"/>
          <w:rFonts w:asciiTheme="minorHAnsi" w:hAnsiTheme="minorHAnsi"/>
          <w:i w:val="0"/>
          <w:color w:val="444444"/>
          <w:sz w:val="16"/>
          <w:szCs w:val="22"/>
        </w:rPr>
        <w:t>’s research may be cited but not excerpted in its entirety. For permission, contact</w:t>
      </w:r>
      <w:r w:rsidRPr="006B2B8C">
        <w:rPr>
          <w:rStyle w:val="apple-converted-space"/>
          <w:rFonts w:asciiTheme="minorHAnsi" w:hAnsiTheme="minorHAnsi"/>
          <w:color w:val="444444"/>
          <w:sz w:val="16"/>
          <w:szCs w:val="22"/>
        </w:rPr>
        <w:t> </w:t>
      </w:r>
      <w:hyperlink r:id="rId8" w:history="1">
        <w:r w:rsidRPr="006B2B8C">
          <w:rPr>
            <w:rStyle w:val="Hyperlink"/>
            <w:rFonts w:asciiTheme="minorHAnsi" w:hAnsiTheme="minorHAnsi"/>
            <w:sz w:val="16"/>
            <w:szCs w:val="22"/>
          </w:rPr>
          <w:t>sharon@adverseevents.com</w:t>
        </w:r>
      </w:hyperlink>
    </w:p>
    <w:p w:rsidR="00464B14" w:rsidRPr="006B2B8C" w:rsidRDefault="00464B14" w:rsidP="00464B14">
      <w:pPr>
        <w:pStyle w:val="NormalWeb"/>
        <w:numPr>
          <w:ilvl w:val="0"/>
          <w:numId w:val="2"/>
        </w:numPr>
        <w:shd w:val="clear" w:color="auto" w:fill="FFFFFF"/>
        <w:spacing w:before="2" w:afterLines="0" w:line="450" w:lineRule="atLeast"/>
        <w:rPr>
          <w:rFonts w:asciiTheme="minorHAnsi" w:hAnsiTheme="minorHAnsi"/>
          <w:color w:val="444444"/>
          <w:sz w:val="16"/>
          <w:szCs w:val="30"/>
        </w:rPr>
      </w:pPr>
      <w:r w:rsidRPr="006B2B8C">
        <w:rPr>
          <w:rFonts w:asciiTheme="minorHAnsi" w:hAnsiTheme="minorHAnsi"/>
          <w:color w:val="444444"/>
          <w:sz w:val="16"/>
        </w:rPr>
        <w:t>Disclaimer: AdverseEvents, nor its officers or employees, has been directly compensated by any party for the preparation of this report. The inclusion of a particular company, drug, class or indication in this report is determined wholly by our quantitative signaling and scoring systems along with our qualitative analysis work. The inclusion or exclusion of any drug, company, or indication has not, and will not, be influenced by any third party, including any clients of AdverseEvents.</w:t>
      </w:r>
    </w:p>
    <w:p w:rsidR="0022363E" w:rsidRPr="008D3FDF" w:rsidRDefault="0022363E" w:rsidP="000D6264">
      <w:pPr>
        <w:rPr>
          <w:sz w:val="20"/>
          <w:szCs w:val="20"/>
        </w:rPr>
      </w:pPr>
    </w:p>
    <w:p w:rsidR="009376A0" w:rsidRPr="008D3FDF" w:rsidRDefault="009376A0" w:rsidP="000D6264">
      <w:pPr>
        <w:rPr>
          <w:sz w:val="20"/>
          <w:szCs w:val="20"/>
        </w:rPr>
      </w:pPr>
    </w:p>
    <w:sectPr w:rsidR="009376A0" w:rsidRPr="008D3FDF" w:rsidSect="002C0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anchez">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22318"/>
    <w:multiLevelType w:val="hybridMultilevel"/>
    <w:tmpl w:val="F528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90285"/>
    <w:multiLevelType w:val="multilevel"/>
    <w:tmpl w:val="CF9C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AE1B63"/>
    <w:multiLevelType w:val="hybridMultilevel"/>
    <w:tmpl w:val="C548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30317E"/>
    <w:multiLevelType w:val="multilevel"/>
    <w:tmpl w:val="E1C6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D1756F"/>
    <w:multiLevelType w:val="hybridMultilevel"/>
    <w:tmpl w:val="F7EA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63"/>
    <w:rsid w:val="00063108"/>
    <w:rsid w:val="000A20F7"/>
    <w:rsid w:val="000A3523"/>
    <w:rsid w:val="000D4A5A"/>
    <w:rsid w:val="000D6264"/>
    <w:rsid w:val="000E2492"/>
    <w:rsid w:val="00114AEC"/>
    <w:rsid w:val="001302CE"/>
    <w:rsid w:val="00143EE1"/>
    <w:rsid w:val="00151563"/>
    <w:rsid w:val="00155D2E"/>
    <w:rsid w:val="0018280B"/>
    <w:rsid w:val="00191FCC"/>
    <w:rsid w:val="001C1D99"/>
    <w:rsid w:val="001C257E"/>
    <w:rsid w:val="001E2E3A"/>
    <w:rsid w:val="0022363E"/>
    <w:rsid w:val="002254CD"/>
    <w:rsid w:val="0024694B"/>
    <w:rsid w:val="00266489"/>
    <w:rsid w:val="002C0FFB"/>
    <w:rsid w:val="002D2505"/>
    <w:rsid w:val="00306AE8"/>
    <w:rsid w:val="0037585D"/>
    <w:rsid w:val="003930AD"/>
    <w:rsid w:val="00394F43"/>
    <w:rsid w:val="00464B14"/>
    <w:rsid w:val="0048402B"/>
    <w:rsid w:val="0049297A"/>
    <w:rsid w:val="00492EEE"/>
    <w:rsid w:val="004B38BF"/>
    <w:rsid w:val="004F0CD0"/>
    <w:rsid w:val="00545E08"/>
    <w:rsid w:val="005603E0"/>
    <w:rsid w:val="00597899"/>
    <w:rsid w:val="005A4D0F"/>
    <w:rsid w:val="005F44DF"/>
    <w:rsid w:val="0060247C"/>
    <w:rsid w:val="00606EDD"/>
    <w:rsid w:val="006512F7"/>
    <w:rsid w:val="00653F46"/>
    <w:rsid w:val="00676894"/>
    <w:rsid w:val="006B2B8C"/>
    <w:rsid w:val="006B3094"/>
    <w:rsid w:val="007D20AD"/>
    <w:rsid w:val="007F48FC"/>
    <w:rsid w:val="0081185B"/>
    <w:rsid w:val="00871550"/>
    <w:rsid w:val="008D3FDF"/>
    <w:rsid w:val="008F49BC"/>
    <w:rsid w:val="009075C1"/>
    <w:rsid w:val="00912C73"/>
    <w:rsid w:val="0091377D"/>
    <w:rsid w:val="0092384F"/>
    <w:rsid w:val="00932357"/>
    <w:rsid w:val="009376A0"/>
    <w:rsid w:val="00957476"/>
    <w:rsid w:val="00976EEB"/>
    <w:rsid w:val="009A001B"/>
    <w:rsid w:val="009B050D"/>
    <w:rsid w:val="00A1130A"/>
    <w:rsid w:val="00A642FC"/>
    <w:rsid w:val="00A760FD"/>
    <w:rsid w:val="00A91BF6"/>
    <w:rsid w:val="00AB6D67"/>
    <w:rsid w:val="00B05FAF"/>
    <w:rsid w:val="00B11243"/>
    <w:rsid w:val="00B2420B"/>
    <w:rsid w:val="00B56986"/>
    <w:rsid w:val="00BA26AD"/>
    <w:rsid w:val="00BB2A9E"/>
    <w:rsid w:val="00BC3168"/>
    <w:rsid w:val="00C00B97"/>
    <w:rsid w:val="00C11C8B"/>
    <w:rsid w:val="00C359D1"/>
    <w:rsid w:val="00C51FC0"/>
    <w:rsid w:val="00C65DEB"/>
    <w:rsid w:val="00CC227E"/>
    <w:rsid w:val="00CE3E93"/>
    <w:rsid w:val="00D00208"/>
    <w:rsid w:val="00D37284"/>
    <w:rsid w:val="00D56D92"/>
    <w:rsid w:val="00D76CCC"/>
    <w:rsid w:val="00DC5E8F"/>
    <w:rsid w:val="00DE5279"/>
    <w:rsid w:val="00E36BD6"/>
    <w:rsid w:val="00E75211"/>
    <w:rsid w:val="00EC06B0"/>
    <w:rsid w:val="00F24310"/>
    <w:rsid w:val="00F422C5"/>
    <w:rsid w:val="00F75870"/>
    <w:rsid w:val="00FF248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02CCD5F-4326-4A19-8808-F1B95A75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563"/>
    <w:pPr>
      <w:ind w:left="720"/>
      <w:contextualSpacing/>
    </w:pPr>
  </w:style>
  <w:style w:type="character" w:styleId="Strong">
    <w:name w:val="Strong"/>
    <w:basedOn w:val="DefaultParagraphFont"/>
    <w:uiPriority w:val="22"/>
    <w:rsid w:val="00A1130A"/>
    <w:rPr>
      <w:b/>
    </w:rPr>
  </w:style>
  <w:style w:type="paragraph" w:styleId="NormalWeb">
    <w:name w:val="Normal (Web)"/>
    <w:basedOn w:val="Normal"/>
    <w:uiPriority w:val="99"/>
    <w:rsid w:val="000D6264"/>
    <w:pPr>
      <w:spacing w:beforeLines="1" w:afterLines="1" w:line="240" w:lineRule="auto"/>
    </w:pPr>
    <w:rPr>
      <w:rFonts w:ascii="Times" w:hAnsi="Times" w:cs="Times New Roman"/>
      <w:sz w:val="20"/>
      <w:szCs w:val="20"/>
    </w:rPr>
  </w:style>
  <w:style w:type="character" w:customStyle="1" w:styleId="apple-converted-space">
    <w:name w:val="apple-converted-space"/>
    <w:basedOn w:val="DefaultParagraphFont"/>
    <w:rsid w:val="000D6264"/>
  </w:style>
  <w:style w:type="character" w:styleId="Hyperlink">
    <w:name w:val="Hyperlink"/>
    <w:basedOn w:val="DefaultParagraphFont"/>
    <w:uiPriority w:val="99"/>
    <w:rsid w:val="000D6264"/>
    <w:rPr>
      <w:color w:val="0000FF"/>
      <w:u w:val="single"/>
    </w:rPr>
  </w:style>
  <w:style w:type="character" w:styleId="Emphasis">
    <w:name w:val="Emphasis"/>
    <w:basedOn w:val="DefaultParagraphFont"/>
    <w:uiPriority w:val="20"/>
    <w:rsid w:val="000D6264"/>
    <w:rPr>
      <w:i/>
    </w:rPr>
  </w:style>
  <w:style w:type="paragraph" w:styleId="Revision">
    <w:name w:val="Revision"/>
    <w:hidden/>
    <w:uiPriority w:val="99"/>
    <w:semiHidden/>
    <w:rsid w:val="00191FCC"/>
    <w:pPr>
      <w:spacing w:after="0" w:line="240" w:lineRule="auto"/>
    </w:pPr>
  </w:style>
  <w:style w:type="paragraph" w:styleId="BalloonText">
    <w:name w:val="Balloon Text"/>
    <w:basedOn w:val="Normal"/>
    <w:link w:val="BalloonTextChar"/>
    <w:uiPriority w:val="99"/>
    <w:semiHidden/>
    <w:unhideWhenUsed/>
    <w:rsid w:val="00191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FCC"/>
    <w:rPr>
      <w:rFonts w:ascii="Segoe UI" w:hAnsi="Segoe UI" w:cs="Segoe UI"/>
      <w:sz w:val="18"/>
      <w:szCs w:val="18"/>
    </w:rPr>
  </w:style>
  <w:style w:type="character" w:styleId="CommentReference">
    <w:name w:val="annotation reference"/>
    <w:basedOn w:val="DefaultParagraphFont"/>
    <w:uiPriority w:val="99"/>
    <w:semiHidden/>
    <w:unhideWhenUsed/>
    <w:rsid w:val="00FF248E"/>
    <w:rPr>
      <w:sz w:val="16"/>
      <w:szCs w:val="16"/>
    </w:rPr>
  </w:style>
  <w:style w:type="paragraph" w:styleId="CommentText">
    <w:name w:val="annotation text"/>
    <w:basedOn w:val="Normal"/>
    <w:link w:val="CommentTextChar"/>
    <w:uiPriority w:val="99"/>
    <w:semiHidden/>
    <w:unhideWhenUsed/>
    <w:rsid w:val="00FF248E"/>
    <w:pPr>
      <w:spacing w:line="240" w:lineRule="auto"/>
    </w:pPr>
    <w:rPr>
      <w:sz w:val="20"/>
      <w:szCs w:val="20"/>
    </w:rPr>
  </w:style>
  <w:style w:type="character" w:customStyle="1" w:styleId="CommentTextChar">
    <w:name w:val="Comment Text Char"/>
    <w:basedOn w:val="DefaultParagraphFont"/>
    <w:link w:val="CommentText"/>
    <w:uiPriority w:val="99"/>
    <w:semiHidden/>
    <w:rsid w:val="00FF248E"/>
    <w:rPr>
      <w:sz w:val="20"/>
      <w:szCs w:val="20"/>
    </w:rPr>
  </w:style>
  <w:style w:type="paragraph" w:styleId="CommentSubject">
    <w:name w:val="annotation subject"/>
    <w:basedOn w:val="CommentText"/>
    <w:next w:val="CommentText"/>
    <w:link w:val="CommentSubjectChar"/>
    <w:uiPriority w:val="99"/>
    <w:semiHidden/>
    <w:unhideWhenUsed/>
    <w:rsid w:val="00FF248E"/>
    <w:rPr>
      <w:b/>
      <w:bCs/>
    </w:rPr>
  </w:style>
  <w:style w:type="character" w:customStyle="1" w:styleId="CommentSubjectChar">
    <w:name w:val="Comment Subject Char"/>
    <w:basedOn w:val="CommentTextChar"/>
    <w:link w:val="CommentSubject"/>
    <w:uiPriority w:val="99"/>
    <w:semiHidden/>
    <w:rsid w:val="00FF24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38038">
      <w:bodyDiv w:val="1"/>
      <w:marLeft w:val="0"/>
      <w:marRight w:val="0"/>
      <w:marTop w:val="0"/>
      <w:marBottom w:val="0"/>
      <w:divBdr>
        <w:top w:val="none" w:sz="0" w:space="0" w:color="auto"/>
        <w:left w:val="none" w:sz="0" w:space="0" w:color="auto"/>
        <w:bottom w:val="none" w:sz="0" w:space="0" w:color="auto"/>
        <w:right w:val="none" w:sz="0" w:space="0" w:color="auto"/>
      </w:divBdr>
    </w:div>
    <w:div w:id="386533602">
      <w:bodyDiv w:val="1"/>
      <w:marLeft w:val="0"/>
      <w:marRight w:val="0"/>
      <w:marTop w:val="0"/>
      <w:marBottom w:val="0"/>
      <w:divBdr>
        <w:top w:val="none" w:sz="0" w:space="0" w:color="auto"/>
        <w:left w:val="none" w:sz="0" w:space="0" w:color="auto"/>
        <w:bottom w:val="none" w:sz="0" w:space="0" w:color="auto"/>
        <w:right w:val="none" w:sz="0" w:space="0" w:color="auto"/>
      </w:divBdr>
    </w:div>
    <w:div w:id="421804580">
      <w:bodyDiv w:val="1"/>
      <w:marLeft w:val="0"/>
      <w:marRight w:val="0"/>
      <w:marTop w:val="0"/>
      <w:marBottom w:val="0"/>
      <w:divBdr>
        <w:top w:val="none" w:sz="0" w:space="0" w:color="auto"/>
        <w:left w:val="none" w:sz="0" w:space="0" w:color="auto"/>
        <w:bottom w:val="none" w:sz="0" w:space="0" w:color="auto"/>
        <w:right w:val="none" w:sz="0" w:space="0" w:color="auto"/>
      </w:divBdr>
    </w:div>
    <w:div w:id="457601971">
      <w:bodyDiv w:val="1"/>
      <w:marLeft w:val="0"/>
      <w:marRight w:val="0"/>
      <w:marTop w:val="0"/>
      <w:marBottom w:val="0"/>
      <w:divBdr>
        <w:top w:val="none" w:sz="0" w:space="0" w:color="auto"/>
        <w:left w:val="none" w:sz="0" w:space="0" w:color="auto"/>
        <w:bottom w:val="none" w:sz="0" w:space="0" w:color="auto"/>
        <w:right w:val="none" w:sz="0" w:space="0" w:color="auto"/>
      </w:divBdr>
    </w:div>
    <w:div w:id="667947982">
      <w:bodyDiv w:val="1"/>
      <w:marLeft w:val="0"/>
      <w:marRight w:val="0"/>
      <w:marTop w:val="0"/>
      <w:marBottom w:val="0"/>
      <w:divBdr>
        <w:top w:val="none" w:sz="0" w:space="0" w:color="auto"/>
        <w:left w:val="none" w:sz="0" w:space="0" w:color="auto"/>
        <w:bottom w:val="none" w:sz="0" w:space="0" w:color="auto"/>
        <w:right w:val="none" w:sz="0" w:space="0" w:color="auto"/>
      </w:divBdr>
    </w:div>
    <w:div w:id="1283463723">
      <w:bodyDiv w:val="1"/>
      <w:marLeft w:val="0"/>
      <w:marRight w:val="0"/>
      <w:marTop w:val="0"/>
      <w:marBottom w:val="0"/>
      <w:divBdr>
        <w:top w:val="none" w:sz="0" w:space="0" w:color="auto"/>
        <w:left w:val="none" w:sz="0" w:space="0" w:color="auto"/>
        <w:bottom w:val="none" w:sz="0" w:space="0" w:color="auto"/>
        <w:right w:val="none" w:sz="0" w:space="0" w:color="auto"/>
      </w:divBdr>
    </w:div>
    <w:div w:id="1517769496">
      <w:bodyDiv w:val="1"/>
      <w:marLeft w:val="0"/>
      <w:marRight w:val="0"/>
      <w:marTop w:val="0"/>
      <w:marBottom w:val="0"/>
      <w:divBdr>
        <w:top w:val="none" w:sz="0" w:space="0" w:color="auto"/>
        <w:left w:val="none" w:sz="0" w:space="0" w:color="auto"/>
        <w:bottom w:val="none" w:sz="0" w:space="0" w:color="auto"/>
        <w:right w:val="none" w:sz="0" w:space="0" w:color="auto"/>
      </w:divBdr>
    </w:div>
    <w:div w:id="1677918526">
      <w:bodyDiv w:val="1"/>
      <w:marLeft w:val="0"/>
      <w:marRight w:val="0"/>
      <w:marTop w:val="0"/>
      <w:marBottom w:val="0"/>
      <w:divBdr>
        <w:top w:val="none" w:sz="0" w:space="0" w:color="auto"/>
        <w:left w:val="none" w:sz="0" w:space="0" w:color="auto"/>
        <w:bottom w:val="none" w:sz="0" w:space="0" w:color="auto"/>
        <w:right w:val="none" w:sz="0" w:space="0" w:color="auto"/>
      </w:divBdr>
    </w:div>
    <w:div w:id="1736202764">
      <w:bodyDiv w:val="1"/>
      <w:marLeft w:val="0"/>
      <w:marRight w:val="0"/>
      <w:marTop w:val="0"/>
      <w:marBottom w:val="0"/>
      <w:divBdr>
        <w:top w:val="none" w:sz="0" w:space="0" w:color="auto"/>
        <w:left w:val="none" w:sz="0" w:space="0" w:color="auto"/>
        <w:bottom w:val="none" w:sz="0" w:space="0" w:color="auto"/>
        <w:right w:val="none" w:sz="0" w:space="0" w:color="auto"/>
      </w:divBdr>
    </w:div>
    <w:div w:id="193130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adverseevents.com" TargetMode="External"/><Relationship Id="rId3" Type="http://schemas.openxmlformats.org/officeDocument/2006/relationships/styles" Target="styles.xml"/><Relationship Id="rId7" Type="http://schemas.openxmlformats.org/officeDocument/2006/relationships/hyperlink" Target="http://info.adverseevents.com/special-report-obesity-contra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A0D26-85F2-4962-BC67-BBE167B5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3432</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Sharon Miller</cp:lastModifiedBy>
  <cp:revision>3</cp:revision>
  <dcterms:created xsi:type="dcterms:W3CDTF">2014-10-02T20:48:00Z</dcterms:created>
  <dcterms:modified xsi:type="dcterms:W3CDTF">2014-10-06T15:15:00Z</dcterms:modified>
</cp:coreProperties>
</file>